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pageBreakBefore w:val="0"/>
        <w:widowControl w:val="0"/>
        <w:kinsoku/>
        <w:wordWrap/>
        <w:topLinePunct w:val="0"/>
        <w:bidi w:val="0"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bookmark9"/>
      <w:bookmarkStart w:id="1" w:name="bookmark7"/>
      <w:bookmarkStart w:id="2" w:name="bookmark8"/>
    </w:p>
    <w:p>
      <w:pPr>
        <w:pStyle w:val="12"/>
        <w:keepNext/>
        <w:keepLines/>
        <w:pageBreakBefore w:val="0"/>
        <w:widowControl w:val="0"/>
        <w:kinsoku/>
        <w:wordWrap/>
        <w:topLinePunct w:val="0"/>
        <w:bidi w:val="0"/>
        <w:spacing w:after="0"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台儿庄区人民政府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关于推进“市县同权”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 xml:space="preserve"> “区镇通办”</w:t>
      </w:r>
      <w:r>
        <w:rPr>
          <w:rFonts w:ascii="Times New Roman" w:hAnsi="Times New Roman" w:eastAsia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改革调整一批行政许可及关联事项的通知</w:t>
      </w:r>
    </w:p>
    <w:p>
      <w:pPr>
        <w:pStyle w:val="12"/>
        <w:keepNext/>
        <w:keepLines/>
        <w:pageBreakBefore w:val="0"/>
        <w:widowControl w:val="0"/>
        <w:kinsoku/>
        <w:wordWrap/>
        <w:topLinePunct w:val="0"/>
        <w:bidi w:val="0"/>
        <w:spacing w:after="0"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keepNext/>
        <w:keepLines/>
        <w:pageBreakBefore w:val="0"/>
        <w:widowControl w:val="0"/>
        <w:kinsoku/>
        <w:wordWrap/>
        <w:topLinePunct w:val="0"/>
        <w:bidi w:val="0"/>
        <w:spacing w:after="0" w:line="560" w:lineRule="exact"/>
        <w:ind w:left="0" w:leftChars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台政发〔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10号</w:t>
      </w:r>
      <w:bookmarkStart w:id="4" w:name="_GoBack"/>
      <w:bookmarkEnd w:id="4"/>
    </w:p>
    <w:bookmarkEnd w:id="0"/>
    <w:bookmarkEnd w:id="1"/>
    <w:bookmarkEnd w:id="2"/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eastAsia="仿宋_GB2312" w:cs="仿宋_GB2312" w:asciiTheme="minorHAnsi" w:hAnsiTheme="minorHAnsi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both"/>
        <w:textAlignment w:val="auto"/>
        <w:rPr>
          <w:rFonts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各镇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政府，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运河街道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办事处，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经济开发区，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区政府各部门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，各大企业</w:t>
      </w:r>
      <w:r>
        <w:rPr>
          <w:rFonts w:hint="eastAsia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：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为落实省委省政府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、市委市政府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深化制度创新、加快流程再造要求，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根据《枣庄市人民政府关于推进“市县同权”改革调整一批行政许可及关联事项的通知》（枣政发〔20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号）、</w:t>
      </w:r>
      <w:r>
        <w:rPr>
          <w:rFonts w:hint="eastAsia" w:ascii="仿宋_GB2312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《枣庄市推进政府职能转变和“放管服”改革协调小组关于深化“放管服”改革的实施意见》（枣放管服发〔2020〕1号）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文件精神，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经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政府研究，决定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承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市级下放的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行政许可及关联事项，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调整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项区级行政许可及关联事项至镇（街）实施，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构建市县一体化、扁平化的审批体制。现就有关事项通知如下：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一、推进“市县同权”改革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（一）建立事项清单。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eastAsia="zh-CN"/>
          <w14:textFill>
            <w14:solidFill>
              <w14:schemeClr w14:val="tx1"/>
            </w14:solidFill>
          </w14:textFill>
        </w:rPr>
        <w:t>市里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文件精神，结合我区事项承接情况，建立《市县同权事项清单》，并及时在政务服务网站和政府门户网站进行公示。事项清单要动态调整，市级行政许可事项清单作出调整的，我区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要在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3个工作日内随之更新。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（二）分类承接办理。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根据行政许可及关联事项的不同性质，严格贯彻依法依规的要求，综合运用直接承接、服务窗口前移和承接实质性审核权等方式，确保事项“接得下”“接得稳”。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直接承接：</w:t>
      </w:r>
      <w:r>
        <w:rPr>
          <w:rFonts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对法律法规没有明确规定实施层级</w:t>
      </w:r>
      <w:r>
        <w:rPr>
          <w:rFonts w:hint="eastAsia"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、市级</w:t>
      </w:r>
      <w:r>
        <w:rPr>
          <w:rFonts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直接下放到区</w:t>
      </w:r>
      <w:r>
        <w:rPr>
          <w:rFonts w:hint="eastAsia"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级</w:t>
      </w:r>
      <w:r>
        <w:rPr>
          <w:rFonts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实施的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41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项</w:t>
      </w:r>
      <w:r>
        <w:rPr>
          <w:rFonts w:ascii="Times New Roman" w:hAnsi="Times New Roman" w:eastAsia="仿宋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市级行政许可及关联事项，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我区直接承接实施，由区直有关部门、单位审查申请材料后，直接作出审批决定，加盖县级审批公章</w:t>
      </w:r>
      <w:bookmarkStart w:id="3" w:name="bookmark18"/>
      <w:bookmarkEnd w:id="3"/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服务窗口前移：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对法律法规规定不能下放和市级委托的76项市级行政许可及关联事项，采取前移服务窗口的方式，在区市民中心设立受理窗口，由区直相关部门负责受理申请、材料，并由受理部门负责转递市级部门审核办理。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承接实质性审核权：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市级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无法前移服务窗口办理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采取受理审核权与批准权适当分离、受理审核权下放、完善“审核转报件”的方式的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项市级行政许可及关联事项，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由区直有关部门、单位实质性审查申请材料、出具准予同意审查意见、加盖区级审批公章后，转报市直有关部门、单位，市直有关部门、单位不再审核材料，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章盖章”。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市、区部门单位依法承担相应的法律责任。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（三）抓好衔接落实。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直相关部门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要认真组织实施，制定具体承接方案，做好衔接落实工作；要主动对接市直有关部门单位，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及时编制、更新有关许可事项业务手册和服务指南，做好</w:t>
      </w:r>
      <w:r>
        <w:rPr>
          <w:rFonts w:hint="eastAsia" w:eastAsia="仿宋_GB2312" w:cs="仿宋_GB2312" w:asciiTheme="minorHAnsi" w:hAnsiTheme="minorHAnsi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公示和宣传；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着力加强审批承接能力建设，调整充实审批力量，健全集中统一的窗口办事制度，完善审批信息系统，建立承接运行、监督考核、跟踪问效等机制，确保事项接得住、用得好。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（四）提升改革成效。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对实行“市县同权”的事项，市、区有同等的受理权，群众既可以选择到市级办理，也可以选择到区级办理，充分满足就近办理的需求，任何部门不得推诿、拒绝。区直有关部门要按照深化制度创新加快流程再造有关要求，精简审批环节，压缩审批时限，确保事项调整后，实现所需办理环节“只减不增”、办理时限“只减不增”、申请材料“只减不增”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黑体" w:hAnsi="黑体" w:eastAsia="黑体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二、推进“区镇通办”</w:t>
      </w:r>
    </w:p>
    <w:p>
      <w:pPr>
        <w:pageBreakBefore w:val="0"/>
        <w:widowControl w:val="0"/>
        <w:kinsoku/>
        <w:wordWrap/>
        <w:topLinePunct w:val="0"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（一）明确放权方式。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按照“能放则放、应放尽放、重心下移、 联动放权”的原则，将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项区级行政许可及关联事项以直接下放及服务窗口前移的方式，下放到镇（街）便民服务中心实施。直接下放的事项，按照“属地管理”原则，由镇（街）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审查申请材料后，直接作出审批决定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采用服务窗口前移的事项，由镇（街）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负责受理</w:t>
      </w:r>
      <w:r>
        <w:rPr>
          <w:rFonts w:hint="eastAsia"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、初审、转递，服务窗口前移部门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负责现场勘查及材料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审核。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（二）强化基础保障。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（街）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结合实际，周密部署，迅速做好窗口、软硬件设备、办公场所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等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保障工作。要选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2-3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“政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治素质高、业务能力强、服务态度好”的人员担任窗口工作人员，保持人员稳定，确保窗口不空岗，工作不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脱节。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（三）做好过渡交接。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区审批服务局和相关业务监管单位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要主动靠上指导、“包教包会”，</w:t>
      </w:r>
      <w:r>
        <w:rPr>
          <w:rFonts w:hint="eastAsia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 通过开展集中业务培训、面对面教学等方式，加强对镇</w:t>
      </w:r>
      <w:r>
        <w:rPr>
          <w:rFonts w:hint="eastAsia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街</w:t>
      </w:r>
      <w:r>
        <w:rPr>
          <w:rFonts w:hint="eastAsia" w:eastAsia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便民服务中心的业务指导培训和跟踪指导，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确保镇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（街）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工作人员能够独立开展业务。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各镇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（街）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积极主动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加强与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区审批服务局和相关业务监管单位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的联系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做好平台对接和使用</w:t>
      </w:r>
      <w:r>
        <w:rPr>
          <w:rFonts w:hint="eastAsia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2020月9月1日前要完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相关业务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无缝过渡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。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加强审批监管。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各镇街要遵循高效、便民原则，提高办事效率，提供优质服务，按照统一的行政审批文书格式，依法办理行政审批事项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，同时，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要完善用章手续，确保用章安全。相关审批信息要在完成审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批后1个工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作日内推送给区行政审批服务局</w:t>
      </w:r>
      <w:r>
        <w:rPr>
          <w:rFonts w:hint="eastAsia"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和属地主管部门</w:t>
      </w:r>
      <w:r>
        <w:rPr>
          <w:rFonts w:ascii="Times New Roman" w:hAnsi="Times New Roman" w:eastAsia="仿宋_GB2312" w:cs="Times New Roman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，区行政审批服务局应及时将审批信息推送至有关监管单位，有关监管单位要积极做好审批事项的事中事后监管工作。如发现在运行过程中没提前考虑到的问题，各部门及镇街便民服务中心共同协商解决。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黑体" w:hAnsi="黑体" w:eastAsia="黑体" w:cs="黑体"/>
          <w:color w:val="000000" w:themeColor="text1"/>
          <w:spacing w:val="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14:textFill>
            <w14:solidFill>
              <w14:schemeClr w14:val="tx1"/>
            </w14:solidFill>
          </w14:textFill>
        </w:rPr>
        <w:t>三、组织保障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16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（一）加强组织领导。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实施“市县同权”“区镇通办”改革是创新完善行政审批体制机制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提高审批服务便民化水平的重大创新，是深化制度创新加快流程再造的重要内容。各镇（街）、有关部门单位要高度重视，提高政治站位，主要负责同志要</w:t>
      </w:r>
      <w:r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加强统筹协调和上下对接，切实保障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下放</w:t>
      </w:r>
      <w:r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事项落到实处，真正方便基层群众办事创业。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16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（二）明确监管责任。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>加强审批与监管衔接，除法律法规另有规定外，对审管一体事项，审批部门履行事中事后监管主体责任；对审管分离事项，审批部门应当依法履行对相关事项审批的管理职责，对审批行为、过程和结果负责，承担具体审批责任；对于采取虚假承诺或违背承诺取得审批的，由审批部门负责处置，行业主管部门负责后续监管。各有关部门要严格按照“谁主管、谁监管”的原则， 进一步加强事中事后监管，真正把工作重心从事前审批转移到事中事后监管上来。</w:t>
      </w:r>
    </w:p>
    <w:p>
      <w:pPr>
        <w:pStyle w:val="3"/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16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14:textFill>
            <w14:solidFill>
              <w14:schemeClr w14:val="tx1"/>
            </w14:solidFill>
          </w14:textFill>
        </w:rPr>
        <w:t>（三）加强宣传引导。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lang w:val="en-US"/>
          <w14:textFill>
            <w14:solidFill>
              <w14:schemeClr w14:val="tx1"/>
            </w14:solidFill>
          </w14:textFill>
        </w:rPr>
        <w:t xml:space="preserve">各镇（街）、有关部门单位要坚持开门搞改革，采取灵活多样的宣传方式，充分利用报纸、广播、电视、网络、新媒体等载体，做好 “市县同权”“区镇通办”改革政策宣传解读，扩大改革的知晓度，及时回应社会关切，凝聚改革共识。 </w:t>
      </w:r>
    </w:p>
    <w:p>
      <w:pPr>
        <w:pageBreakBefore w:val="0"/>
        <w:widowControl w:val="0"/>
        <w:kinsoku/>
        <w:wordWrap/>
        <w:overflowPunct w:val="0"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各镇街、区直相关部门单位“市县同权”“区镇通办”改革承接方案请于本通知印发后1个月内报区持续深入优化营商环境和推进政府职能转变领导小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组办公室</w:t>
      </w:r>
      <w:r>
        <w:rPr>
          <w:rFonts w:ascii="Times New Roman" w:hAnsi="Times New Roman" w:eastAsia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6616110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，电子邮箱：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/>
          <w14:textFill>
            <w14:solidFill>
              <w14:schemeClr w14:val="tx1"/>
            </w14:solidFill>
          </w14:textFill>
        </w:rPr>
        <w:t>zwfwzhxt@zz.shandong.cn。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附件：1、承接已实现市县同权的市级行政许可事项（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39项）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1600" w:firstLineChars="5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2、承接直接下放的市级行政许可及关联事项（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41项）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3、承接服务窗口前移的市级行政许可及关联事项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1920" w:firstLineChars="6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76项）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4、承接下放实质性审核权的市级行政许可及关联事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1977" w:firstLineChars="618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项（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113项）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1600" w:firstLineChars="5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5、直接下放的区级行政许可及关联事项（4项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1600" w:firstLineChars="5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6、服务窗口前移的区级行政许可及关联事项（7项</w:t>
      </w:r>
      <w:r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ab/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left="0" w:leftChars="0"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5670" w:firstLineChars="1772"/>
        <w:jc w:val="both"/>
        <w:textAlignment w:val="auto"/>
        <w:rPr>
          <w:rFonts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 xml:space="preserve">台儿庄区人民政府 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36" w:firstLineChars="1980"/>
        <w:jc w:val="both"/>
        <w:textAlignment w:val="auto"/>
        <w:rPr>
          <w:rFonts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2020年7月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_GB2312" w:eastAsia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widowControl w:val="0"/>
        <w:kinsoku/>
        <w:wordWrap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（此件公开发布）</w:t>
      </w:r>
    </w:p>
    <w:sectPr>
      <w:footerReference r:id="rId3" w:type="default"/>
      <w:pgSz w:w="11906" w:h="16838"/>
      <w:pgMar w:top="1984" w:right="1587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Microsoft JhengHei UI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-69850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5.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wb7HLTAAAACAEAAA8AAAAA&#10;AAAAAQAgAAAAIgAAAGRycy9kb3ducmV2LnhtbFBLAQIUABQAAAAIAIdO4kAlykwb4AEAALkDAAAO&#10;AAAAAAAAAAEAIAAAACI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96DC6"/>
    <w:rsid w:val="00003870"/>
    <w:rsid w:val="00015C97"/>
    <w:rsid w:val="00035C0B"/>
    <w:rsid w:val="00052D95"/>
    <w:rsid w:val="00065CEA"/>
    <w:rsid w:val="000835A6"/>
    <w:rsid w:val="000C4641"/>
    <w:rsid w:val="000E06B7"/>
    <w:rsid w:val="001017F8"/>
    <w:rsid w:val="00112364"/>
    <w:rsid w:val="001A64B2"/>
    <w:rsid w:val="001A71EB"/>
    <w:rsid w:val="001B1DC1"/>
    <w:rsid w:val="001D136B"/>
    <w:rsid w:val="001D7EF8"/>
    <w:rsid w:val="00216CDE"/>
    <w:rsid w:val="00232BEC"/>
    <w:rsid w:val="0023700D"/>
    <w:rsid w:val="00237434"/>
    <w:rsid w:val="00245FBE"/>
    <w:rsid w:val="002A1AF7"/>
    <w:rsid w:val="002F3345"/>
    <w:rsid w:val="00367DE6"/>
    <w:rsid w:val="00367F46"/>
    <w:rsid w:val="0039380D"/>
    <w:rsid w:val="003E1FD1"/>
    <w:rsid w:val="003F2317"/>
    <w:rsid w:val="004A2691"/>
    <w:rsid w:val="004D07FF"/>
    <w:rsid w:val="00533221"/>
    <w:rsid w:val="00540B48"/>
    <w:rsid w:val="00551A64"/>
    <w:rsid w:val="00562FC7"/>
    <w:rsid w:val="005727C0"/>
    <w:rsid w:val="00582F38"/>
    <w:rsid w:val="00586716"/>
    <w:rsid w:val="005A62C9"/>
    <w:rsid w:val="005C50C4"/>
    <w:rsid w:val="0060213E"/>
    <w:rsid w:val="006476E3"/>
    <w:rsid w:val="00663546"/>
    <w:rsid w:val="006C1266"/>
    <w:rsid w:val="006C3474"/>
    <w:rsid w:val="006F3424"/>
    <w:rsid w:val="006F74D7"/>
    <w:rsid w:val="00700B7E"/>
    <w:rsid w:val="0070662A"/>
    <w:rsid w:val="00752AA9"/>
    <w:rsid w:val="0075356B"/>
    <w:rsid w:val="00760AE7"/>
    <w:rsid w:val="00773216"/>
    <w:rsid w:val="00784531"/>
    <w:rsid w:val="007C4D1E"/>
    <w:rsid w:val="007C50E9"/>
    <w:rsid w:val="007E2941"/>
    <w:rsid w:val="008007BF"/>
    <w:rsid w:val="008F2D54"/>
    <w:rsid w:val="00903C63"/>
    <w:rsid w:val="00926641"/>
    <w:rsid w:val="009277E7"/>
    <w:rsid w:val="00975E93"/>
    <w:rsid w:val="0097772A"/>
    <w:rsid w:val="0098444F"/>
    <w:rsid w:val="009869B0"/>
    <w:rsid w:val="009876BA"/>
    <w:rsid w:val="00995396"/>
    <w:rsid w:val="009A5E74"/>
    <w:rsid w:val="009A667F"/>
    <w:rsid w:val="009D2A5E"/>
    <w:rsid w:val="00A3715A"/>
    <w:rsid w:val="00A37BAA"/>
    <w:rsid w:val="00A4345F"/>
    <w:rsid w:val="00A45D82"/>
    <w:rsid w:val="00AB1017"/>
    <w:rsid w:val="00AB11F8"/>
    <w:rsid w:val="00AC0916"/>
    <w:rsid w:val="00AD4494"/>
    <w:rsid w:val="00BB08AB"/>
    <w:rsid w:val="00BB6FE9"/>
    <w:rsid w:val="00BE2B44"/>
    <w:rsid w:val="00C3352E"/>
    <w:rsid w:val="00C55639"/>
    <w:rsid w:val="00C95F07"/>
    <w:rsid w:val="00CC05B6"/>
    <w:rsid w:val="00D15168"/>
    <w:rsid w:val="00D22E99"/>
    <w:rsid w:val="00D34B41"/>
    <w:rsid w:val="00D453BD"/>
    <w:rsid w:val="00D776DA"/>
    <w:rsid w:val="00D970EE"/>
    <w:rsid w:val="00DB18B2"/>
    <w:rsid w:val="00DB2596"/>
    <w:rsid w:val="00DE6BD8"/>
    <w:rsid w:val="00E13B42"/>
    <w:rsid w:val="00E434B5"/>
    <w:rsid w:val="00E46D13"/>
    <w:rsid w:val="00E50E2E"/>
    <w:rsid w:val="00EA0C6D"/>
    <w:rsid w:val="00EE5A29"/>
    <w:rsid w:val="00F41321"/>
    <w:rsid w:val="00F50969"/>
    <w:rsid w:val="00F668DB"/>
    <w:rsid w:val="00F76F2D"/>
    <w:rsid w:val="00FC68DD"/>
    <w:rsid w:val="00FE7F69"/>
    <w:rsid w:val="00FF66B4"/>
    <w:rsid w:val="0181340B"/>
    <w:rsid w:val="01A10326"/>
    <w:rsid w:val="03763502"/>
    <w:rsid w:val="06B96EE0"/>
    <w:rsid w:val="07616AD3"/>
    <w:rsid w:val="08030CA4"/>
    <w:rsid w:val="097D110B"/>
    <w:rsid w:val="09DA6586"/>
    <w:rsid w:val="0B68579E"/>
    <w:rsid w:val="0BD555A3"/>
    <w:rsid w:val="0C0555C1"/>
    <w:rsid w:val="0C303F42"/>
    <w:rsid w:val="0D5E03F1"/>
    <w:rsid w:val="115A6F49"/>
    <w:rsid w:val="118041EE"/>
    <w:rsid w:val="12F56DFD"/>
    <w:rsid w:val="14905E26"/>
    <w:rsid w:val="16E76CB6"/>
    <w:rsid w:val="17D56724"/>
    <w:rsid w:val="18E3036D"/>
    <w:rsid w:val="19A90933"/>
    <w:rsid w:val="19E24824"/>
    <w:rsid w:val="1B7C27A6"/>
    <w:rsid w:val="1C7E166D"/>
    <w:rsid w:val="1DB81BE3"/>
    <w:rsid w:val="1E5B7031"/>
    <w:rsid w:val="1F297CC3"/>
    <w:rsid w:val="218D65DB"/>
    <w:rsid w:val="24202E97"/>
    <w:rsid w:val="25C058AA"/>
    <w:rsid w:val="261D1EE8"/>
    <w:rsid w:val="29AE060D"/>
    <w:rsid w:val="2BB80DBB"/>
    <w:rsid w:val="2C096DC6"/>
    <w:rsid w:val="2CCC7488"/>
    <w:rsid w:val="2D163038"/>
    <w:rsid w:val="2F131FEB"/>
    <w:rsid w:val="30D01BCC"/>
    <w:rsid w:val="31194550"/>
    <w:rsid w:val="315620BD"/>
    <w:rsid w:val="32657CE3"/>
    <w:rsid w:val="327F285C"/>
    <w:rsid w:val="332529F3"/>
    <w:rsid w:val="356E4D32"/>
    <w:rsid w:val="35AE7601"/>
    <w:rsid w:val="35DD543B"/>
    <w:rsid w:val="377C23B7"/>
    <w:rsid w:val="387108F4"/>
    <w:rsid w:val="3878276E"/>
    <w:rsid w:val="38C10F38"/>
    <w:rsid w:val="394B38F4"/>
    <w:rsid w:val="39A75CC1"/>
    <w:rsid w:val="3AC841F0"/>
    <w:rsid w:val="3B4168BD"/>
    <w:rsid w:val="3B417C6E"/>
    <w:rsid w:val="3C215B62"/>
    <w:rsid w:val="3CD768CE"/>
    <w:rsid w:val="3E457348"/>
    <w:rsid w:val="3FFD5C18"/>
    <w:rsid w:val="40316633"/>
    <w:rsid w:val="41015568"/>
    <w:rsid w:val="41932BBF"/>
    <w:rsid w:val="421B4D13"/>
    <w:rsid w:val="42607402"/>
    <w:rsid w:val="42A92AD4"/>
    <w:rsid w:val="447C05DA"/>
    <w:rsid w:val="45C37ABD"/>
    <w:rsid w:val="461E161D"/>
    <w:rsid w:val="49A7262F"/>
    <w:rsid w:val="4D5A032E"/>
    <w:rsid w:val="51BB5D66"/>
    <w:rsid w:val="527E1F4E"/>
    <w:rsid w:val="53113624"/>
    <w:rsid w:val="535E2268"/>
    <w:rsid w:val="53C97F28"/>
    <w:rsid w:val="543E7A15"/>
    <w:rsid w:val="571553ED"/>
    <w:rsid w:val="57694956"/>
    <w:rsid w:val="57D30C70"/>
    <w:rsid w:val="584C7A74"/>
    <w:rsid w:val="58AA27E8"/>
    <w:rsid w:val="591C046C"/>
    <w:rsid w:val="5A785436"/>
    <w:rsid w:val="5B211FB8"/>
    <w:rsid w:val="5D803CFE"/>
    <w:rsid w:val="5ED90651"/>
    <w:rsid w:val="5F16759B"/>
    <w:rsid w:val="60575191"/>
    <w:rsid w:val="60C40CD8"/>
    <w:rsid w:val="61537DA5"/>
    <w:rsid w:val="61A4230B"/>
    <w:rsid w:val="61ED356C"/>
    <w:rsid w:val="61FE75A7"/>
    <w:rsid w:val="63D53181"/>
    <w:rsid w:val="63E92534"/>
    <w:rsid w:val="6419616E"/>
    <w:rsid w:val="649D2A31"/>
    <w:rsid w:val="6B0A1E89"/>
    <w:rsid w:val="6B3B0CB9"/>
    <w:rsid w:val="6B3B4C3A"/>
    <w:rsid w:val="6C073C83"/>
    <w:rsid w:val="6C8D0B8E"/>
    <w:rsid w:val="6C9F6F6E"/>
    <w:rsid w:val="6D7B2DDF"/>
    <w:rsid w:val="6DF86FA6"/>
    <w:rsid w:val="6EC80E6A"/>
    <w:rsid w:val="71196812"/>
    <w:rsid w:val="73EB693B"/>
    <w:rsid w:val="74BE4522"/>
    <w:rsid w:val="75E97A79"/>
    <w:rsid w:val="76514D0B"/>
    <w:rsid w:val="77BE104F"/>
    <w:rsid w:val="77DB7A96"/>
    <w:rsid w:val="77F41AE9"/>
    <w:rsid w:val="785B73CC"/>
    <w:rsid w:val="7B67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27" w:right="345"/>
      <w:jc w:val="center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Hyperlink"/>
    <w:basedOn w:val="7"/>
    <w:qFormat/>
    <w:uiPriority w:val="0"/>
    <w:rPr>
      <w:color w:val="0000FF"/>
      <w:u w:val="none"/>
    </w:rPr>
  </w:style>
  <w:style w:type="paragraph" w:customStyle="1" w:styleId="11">
    <w:name w:val="Body text|1"/>
    <w:basedOn w:val="1"/>
    <w:qFormat/>
    <w:uiPriority w:val="0"/>
    <w:pPr>
      <w:spacing w:line="420" w:lineRule="auto"/>
      <w:ind w:firstLine="400"/>
    </w:pPr>
    <w:rPr>
      <w:color w:val="383839"/>
      <w:sz w:val="28"/>
      <w:szCs w:val="28"/>
      <w:lang w:val="zh-TW" w:eastAsia="zh-TW" w:bidi="zh-TW"/>
    </w:rPr>
  </w:style>
  <w:style w:type="paragraph" w:customStyle="1" w:styleId="12">
    <w:name w:val="Heading #2|1"/>
    <w:basedOn w:val="1"/>
    <w:qFormat/>
    <w:uiPriority w:val="0"/>
    <w:pPr>
      <w:spacing w:after="560" w:line="307" w:lineRule="auto"/>
      <w:jc w:val="center"/>
      <w:outlineLvl w:val="1"/>
    </w:pPr>
    <w:rPr>
      <w:color w:val="262626"/>
      <w:sz w:val="40"/>
      <w:szCs w:val="4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834ED-F427-46EB-8113-38455ABA1F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405</Words>
  <Characters>2311</Characters>
  <Lines>19</Lines>
  <Paragraphs>5</Paragraphs>
  <TotalTime>0</TotalTime>
  <ScaleCrop>false</ScaleCrop>
  <LinksUpToDate>false</LinksUpToDate>
  <CharactersWithSpaces>2711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2020-07-12T06:30:00Z</dcterms:created>
  <dc:creator>不曾低头</dc:creator>
  <cp:lastModifiedBy>Administrator</cp:lastModifiedBy>
  <cp:lastPrinted>2020-08-11T13:49:00Z</cp:lastPrinted>
  <dcterms:modified xsi:type="dcterms:W3CDTF">2020-12-17T01:11:37Z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